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30"/>
        <w:gridCol w:w="222"/>
      </w:tblGrid>
      <w:tr w:rsidR="009836F4" w:rsidTr="003A3C58">
        <w:trPr>
          <w:trHeight w:val="2127"/>
        </w:trPr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3A3C58" w:rsidRDefault="003A3C58" w:rsidP="003A3C58">
            <w:pPr>
              <w:rPr>
                <w:rFonts w:eastAsia="Times New Roman"/>
                <w:lang w:val="en-US" w:eastAsia="en-US"/>
              </w:rPr>
            </w:pP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  <w:hideMark/>
                </w:tcPr>
                <w:p w:rsidR="003A3C58" w:rsidRDefault="003A3C58">
                  <w:pPr>
                    <w:spacing w:line="256" w:lineRule="auto"/>
                    <w:ind w:firstLine="176"/>
                    <w:jc w:val="center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A3C58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A3C58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A3C58" w:rsidRDefault="003A3C58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A3C58" w:rsidRDefault="003A3C58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3A3C58" w:rsidRDefault="003A3C58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3A3C58" w:rsidRDefault="003A3C5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855" w:type="dxa"/>
          </w:tcPr>
          <w:p w:rsidR="009836F4" w:rsidRDefault="009836F4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6A5175" w:rsidRDefault="00FB65E1" w:rsidP="00FB65E1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FB65E1" w:rsidRDefault="00FB65E1" w:rsidP="006A5175">
      <w:pPr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УТВЕРЖДАЮ</w:t>
      </w:r>
    </w:p>
    <w:p w:rsidR="00FB65E1" w:rsidRDefault="00FB65E1" w:rsidP="00FB65E1">
      <w:pP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Проректор </w:t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по учебной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работе</w:t>
      </w:r>
    </w:p>
    <w:p w:rsidR="00FB65E1" w:rsidRPr="00FB65E1" w:rsidRDefault="00FB65E1" w:rsidP="00FB65E1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</w:t>
      </w:r>
      <w:r>
        <w:rPr>
          <w:noProof/>
          <w:u w:val="single"/>
        </w:rPr>
        <w:drawing>
          <wp:inline distT="0" distB="0" distL="0" distR="0" wp14:anchorId="12983385" wp14:editId="73FD324E">
            <wp:extent cx="709930" cy="21844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Л.В. </w:t>
      </w:r>
      <w:proofErr w:type="spellStart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Ватлина</w:t>
      </w:r>
      <w:proofErr w:type="spellEnd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28</w:t>
      </w:r>
      <w:r w:rsidR="00A96B60" w:rsidRPr="00A96B60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мая 2025 г.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836F4" w:rsidTr="009836F4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5E1" w:rsidRDefault="009836F4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9836F4" w:rsidRPr="00FB65E1" w:rsidRDefault="00FB65E1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 ДИСЦИПЛИНЫ</w:t>
            </w:r>
          </w:p>
        </w:tc>
      </w:tr>
      <w:tr w:rsidR="009836F4" w:rsidTr="009836F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6F4" w:rsidRDefault="00FB6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50481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9836F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A5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9836F4" w:rsidRDefault="009836F4" w:rsidP="009836F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836F4" w:rsidRDefault="00FB65E1" w:rsidP="009836F4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43.02.15</w:t>
      </w:r>
      <w:r w:rsidR="00983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734D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Поварское и кондитерское дело</w:t>
      </w:r>
    </w:p>
    <w:p w:rsidR="009836F4" w:rsidRDefault="009836F4" w:rsidP="009836F4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9836F4" w:rsidRDefault="009836F4" w:rsidP="009836F4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Специалист по </w:t>
      </w:r>
      <w:r w:rsidR="006734D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поварскому и кондитерскому делу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06B7" w:rsidRPr="00C906B7" w:rsidRDefault="001947A0" w:rsidP="00C906B7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2024</w:t>
      </w:r>
      <w:bookmarkStart w:id="0" w:name="_GoBack"/>
      <w:bookmarkEnd w:id="0"/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</w:t>
      </w:r>
      <w:r w:rsidR="00DF24F6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A96B6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 w:rsidP="00FB65E1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общеобразовательной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 w:rsidR="00FB65E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ОД</w:t>
                  </w:r>
                  <w:r w:rsidR="00504814"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.04</w:t>
                  </w:r>
                  <w:r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43.02.15</w:t>
                  </w:r>
                  <w:r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Поварское и кондитерское дело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09 декабря 2016 № 15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836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9836F4" w:rsidRDefault="009836F4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9836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9836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9836F4" w:rsidRDefault="009836F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общеобразовательной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ОД.</w:t>
      </w:r>
      <w:r w:rsidR="007236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6A51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96B60" w:rsidRPr="00A96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8.</w:t>
      </w: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B65E1">
        <w:rPr>
          <w:noProof/>
        </w:rPr>
        <w:drawing>
          <wp:inline distT="0" distB="0" distL="0" distR="0" wp14:anchorId="4F6A7492" wp14:editId="4206E52C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О. А. Гербер                                               </w:t>
      </w:r>
    </w:p>
    <w:p w:rsidR="009836F4" w:rsidRDefault="009836F4" w:rsidP="009836F4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9836F4" w:rsidTr="009836F4">
        <w:trPr>
          <w:trHeight w:val="425"/>
        </w:trPr>
        <w:tc>
          <w:tcPr>
            <w:tcW w:w="12052" w:type="dxa"/>
            <w:gridSpan w:val="3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9836F4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9836F4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9836F4" w:rsidRDefault="009836F4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ОБЩАЯ ХАРАКТЕРИСТИКА РАБОЧЕЙ ПРОГРАММЫ ОБЩЕОБРАЗОВАТЕЛЬНОЙ  ДИСЦИПЛИНЫ «ОБЩЕСТВОЗНАНИЕ»</w:t>
      </w:r>
    </w:p>
    <w:p w:rsidR="009836F4" w:rsidRDefault="009836F4" w:rsidP="009836F4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Место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 в структуре образовательной программы СПО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9836F4" w:rsidRDefault="009836F4" w:rsidP="009836F4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9836F4" w:rsidRDefault="009836F4" w:rsidP="00FB65E1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Цель и планируемые 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результаты освоения</w:t>
      </w:r>
      <w:r w:rsidR="00782484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</w:t>
      </w:r>
    </w:p>
    <w:p w:rsidR="009836F4" w:rsidRDefault="009836F4" w:rsidP="009836F4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9836F4" w:rsidRDefault="009836F4" w:rsidP="009836F4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9836F4" w:rsidRDefault="009836F4" w:rsidP="009836F4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9836F4" w:rsidRDefault="009836F4" w:rsidP="009836F4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9836F4" w:rsidRDefault="009836F4" w:rsidP="009836F4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9836F4" w:rsidRDefault="009836F4" w:rsidP="009836F4">
      <w:pPr>
        <w:spacing w:line="324" w:lineRule="auto"/>
        <w:rPr>
          <w:rFonts w:ascii="Arial" w:eastAsia="Arial" w:hAnsi="Arial"/>
          <w:b/>
          <w:sz w:val="25"/>
        </w:rPr>
        <w:sectPr w:rsidR="009836F4">
          <w:pgSz w:w="11906" w:h="16840"/>
          <w:pgMar w:top="1138" w:right="430" w:bottom="860" w:left="1440" w:header="0" w:footer="0" w:gutter="0"/>
          <w:cols w:space="720"/>
        </w:sectPr>
      </w:pP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9836F4" w:rsidRDefault="009836F4" w:rsidP="009836F4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9836F4" w:rsidTr="009836F4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9836F4" w:rsidTr="009836F4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9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9836F4" w:rsidTr="009836F4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9836F4" w:rsidTr="009836F4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9836F4" w:rsidTr="009836F4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9836F4" w:rsidRDefault="009836F4" w:rsidP="009836F4">
      <w:pPr>
        <w:spacing w:line="25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9836F4" w:rsidRDefault="009836F4" w:rsidP="009836F4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13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9836F4" w:rsidRDefault="009836F4" w:rsidP="009836F4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2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9836F4" w:rsidRDefault="009836F4" w:rsidP="009836F4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290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9836F4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9836F4" w:rsidRDefault="009836F4" w:rsidP="009836F4">
      <w:pPr>
        <w:spacing w:line="15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9836F4" w:rsidRDefault="009836F4" w:rsidP="009836F4">
      <w:pPr>
        <w:rPr>
          <w:rFonts w:ascii="Times New Roman" w:hAnsi="Times New Roman" w:cs="Times New Roman"/>
          <w:sz w:val="19"/>
        </w:rPr>
        <w:sectPr w:rsidR="009836F4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9836F4" w:rsidTr="009836F4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9836F4" w:rsidRDefault="009836F4" w:rsidP="009836F4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04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14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9836F4" w:rsidRDefault="009836F4" w:rsidP="009836F4">
      <w:pPr>
        <w:spacing w:line="77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9836F4" w:rsidRDefault="009836F4" w:rsidP="009836F4">
      <w:pPr>
        <w:spacing w:line="1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9836F4" w:rsidRDefault="009836F4" w:rsidP="009836F4">
      <w:pPr>
        <w:spacing w:line="302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0"/>
        </w:numPr>
        <w:tabs>
          <w:tab w:val="left" w:pos="2199"/>
        </w:tabs>
        <w:spacing w:line="362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302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292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9836F4" w:rsidRDefault="009836F4" w:rsidP="009836F4">
      <w:pPr>
        <w:spacing w:line="292" w:lineRule="auto"/>
        <w:rPr>
          <w:rFonts w:ascii="Times New Roman" w:eastAsia="Arial" w:hAnsi="Times New Roman" w:cs="Times New Roman"/>
          <w:sz w:val="22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04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290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12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9836F4" w:rsidRDefault="009836F4" w:rsidP="009836F4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544"/>
        </w:tabs>
        <w:spacing w:line="314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9836F4" w:rsidRDefault="009836F4" w:rsidP="009836F4">
      <w:pPr>
        <w:spacing w:line="13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финансовую безопасность с учетом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7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9836F4" w:rsidRDefault="009836F4" w:rsidP="009836F4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9836F4" w:rsidRDefault="009836F4" w:rsidP="009836F4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304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836F4" w:rsidRDefault="009836F4" w:rsidP="009836F4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90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836F4" w:rsidRDefault="009836F4" w:rsidP="009836F4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9836F4" w:rsidRDefault="009836F4" w:rsidP="009836F4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9836F4" w:rsidTr="009836F4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9836F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2. СТРУКТУРА И СОДЕРЖАНИЕ УЧЕБНОЙ ДИСЦИПЛИНЫ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480" w:type="dxa"/>
          <w:trHeight w:val="199"/>
        </w:trPr>
        <w:tc>
          <w:tcPr>
            <w:tcW w:w="92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355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6F4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2.1. Объем учебной дисциплины и виды учебной работы 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(очная форма обучения)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Основное </w:t>
                        </w:r>
                        <w:r w:rsidR="0053163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 w:rsidP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78248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Индивидуальный проект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9836F4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-</w:t>
                        </w:r>
                      </w:p>
                    </w:tc>
                  </w:tr>
                </w:tbl>
                <w:p w:rsidR="009836F4" w:rsidRDefault="009836F4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504814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9836F4" w:rsidRPr="006A5175" w:rsidRDefault="009836F4" w:rsidP="009836F4">
      <w:pPr>
        <w:spacing w:line="0" w:lineRule="atLeast"/>
        <w:ind w:left="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14" w:name="page21"/>
      <w:bookmarkEnd w:id="14"/>
      <w:r w:rsidRPr="006A5175">
        <w:rPr>
          <w:rFonts w:ascii="Times New Roman" w:eastAsia="Arial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</w:p>
    <w:p w:rsidR="009836F4" w:rsidRPr="006A5175" w:rsidRDefault="009836F4" w:rsidP="009836F4">
      <w:pPr>
        <w:spacing w:line="39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9836F4" w:rsidRPr="006A5175" w:rsidTr="009836F4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Формируемые</w:t>
            </w:r>
          </w:p>
        </w:tc>
      </w:tr>
      <w:tr w:rsidR="009836F4" w:rsidRPr="006A5175" w:rsidTr="009836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  <w:t>компетенции</w:t>
            </w:r>
          </w:p>
        </w:tc>
      </w:tr>
      <w:tr w:rsidR="009836F4" w:rsidRPr="006A5175" w:rsidTr="009836F4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4</w:t>
            </w:r>
          </w:p>
        </w:tc>
      </w:tr>
      <w:tr w:rsidR="009836F4" w:rsidRPr="006A5175" w:rsidTr="009836F4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531638" w:rsidRPr="006A5175" w:rsidTr="00531638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4031F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Перспективы  развития  специальности «Поварское и кондитерское дело» в   информационном   обществе. Направления   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общ</w:t>
            </w:r>
            <w:r w:rsidR="002F507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ественного питания.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rPr>
          <w:rFonts w:ascii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9836F4" w:rsidRPr="006A5175" w:rsidTr="009836F4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5" w:name="page22"/>
            <w:bookmarkEnd w:id="15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человека и его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2E6A89" w:rsidRPr="006A5175" w:rsidTr="00C73C3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  <w:r w:rsidR="004714C7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общественного питания.   </w:t>
            </w:r>
          </w:p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4714C7"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6A5175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</w:tc>
      </w:tr>
      <w:tr w:rsidR="001247F5" w:rsidRPr="006A5175" w:rsidTr="00C73C3C">
        <w:trPr>
          <w:trHeight w:val="3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486"/>
        <w:gridCol w:w="1280"/>
        <w:gridCol w:w="1960"/>
      </w:tblGrid>
      <w:tr w:rsidR="009836F4" w:rsidRPr="006A5175" w:rsidTr="002E6A89">
        <w:trPr>
          <w:trHeight w:val="281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48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</w:t>
            </w:r>
            <w:r w:rsidR="00046D88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21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419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6A89" w:rsidRPr="006A5175" w:rsidRDefault="002E6A89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2E6A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2E6A89">
        <w:trPr>
          <w:trHeight w:val="46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1638" w:rsidRPr="006A5175" w:rsidRDefault="00531638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Естественные, технические, точные и социально-гуманитарные науки в профессиональной деятельности   работников общественного питания.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1247F5" w:rsidRPr="006A5175" w:rsidTr="00233FF3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в сфере общественного питания.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1247F5" w:rsidRPr="006A5175" w:rsidTr="00C73C3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общественного питания.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Религия, её роль в жизни общества и человека. Мировые и национальные   религии. Значение поддержания межконфессионального мира в Российской   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6A5175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2.4.</w:t>
            </w:r>
          </w:p>
          <w:p w:rsidR="001247F5" w:rsidRPr="006A5175" w:rsidRDefault="001247F5" w:rsidP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1247F5" w:rsidRPr="006A5175" w:rsidTr="00C73C3C">
        <w:trPr>
          <w:trHeight w:val="42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7F5" w:rsidRPr="006A5175" w:rsidRDefault="001247F5" w:rsidP="001247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75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14C7" w:rsidRPr="006A5175" w:rsidRDefault="004714C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14C7" w:rsidRPr="006A5175" w:rsidRDefault="004714C7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714C7" w:rsidRPr="006A5175" w:rsidRDefault="004714C7" w:rsidP="004714C7">
            <w:pPr>
              <w:spacing w:line="0" w:lineRule="atLeast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32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07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4714C7" w:rsidP="007F0D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</w:t>
            </w:r>
            <w:r w:rsidR="001247F5"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специализации в сфере  общественного питания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046D88" w:rsidRPr="006A5175" w:rsidRDefault="00046D88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01</w:t>
            </w: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3BCF06" wp14:editId="7381EC6C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sz w:val="28"/>
          <w:szCs w:val="28"/>
        </w:rPr>
        <w:t>24</w:t>
      </w:r>
    </w:p>
    <w:p w:rsidR="00046D88" w:rsidRPr="006A5175" w:rsidRDefault="00046D88" w:rsidP="007A02C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rPr>
          <w:rFonts w:ascii="Times New Roman" w:hAnsi="Times New Roman" w:cs="Times New Roman"/>
          <w:sz w:val="28"/>
          <w:szCs w:val="28"/>
        </w:rPr>
        <w:sectPr w:rsidR="00046D88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30"/>
        <w:gridCol w:w="2117"/>
        <w:gridCol w:w="3416"/>
        <w:gridCol w:w="904"/>
        <w:gridCol w:w="1139"/>
        <w:gridCol w:w="1897"/>
        <w:gridCol w:w="1284"/>
        <w:gridCol w:w="1957"/>
      </w:tblGrid>
      <w:tr w:rsidR="007F0D83" w:rsidRPr="006A5175" w:rsidTr="005250E7">
        <w:trPr>
          <w:trHeight w:val="281"/>
        </w:trPr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3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F0D83" w:rsidRPr="006A5175" w:rsidRDefault="007F0D83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7F0D83" w:rsidRPr="006A5175" w:rsidRDefault="007F0D83" w:rsidP="007F0D83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экономике. Финансовые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80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3.3.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60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Рынок труда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53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безработица.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Рациональное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2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поведение потребителя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общественного питания. </w:t>
            </w:r>
          </w:p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фессиональной переподготовки в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сфере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общественного питания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3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86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3.4.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5250E7" w:rsidRPr="006A5175" w:rsidRDefault="005250E7" w:rsidP="007F0D83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Предприятие в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75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53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экономике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39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5250E7" w:rsidRPr="006A5175" w:rsidRDefault="005250E7" w:rsidP="005250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 </w:t>
            </w:r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3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55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5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345"/>
        </w:trPr>
        <w:tc>
          <w:tcPr>
            <w:tcW w:w="26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2C4" w:rsidRPr="006A5175" w:rsidRDefault="007A02C4" w:rsidP="00504814">
            <w:pPr>
              <w:spacing w:line="276" w:lineRule="auto"/>
              <w:ind w:left="1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02C4" w:rsidRPr="006A5175" w:rsidRDefault="007A02C4" w:rsidP="007A02C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459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A02C4" w:rsidRPr="006A5175" w:rsidRDefault="007A02C4" w:rsidP="005250E7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930B31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общественного питания.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3.5.</w:t>
            </w: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государство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5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9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0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50E7" w:rsidRPr="006A5175" w:rsidRDefault="005250E7" w:rsidP="005250E7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3.6.</w:t>
            </w:r>
          </w:p>
          <w:p w:rsidR="005250E7" w:rsidRPr="006A5175" w:rsidRDefault="005250E7" w:rsidP="005250E7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Основные тенденции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развития экономики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России 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международная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</w:t>
            </w: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5250E7" w:rsidRPr="006A5175" w:rsidTr="005250E7">
        <w:trPr>
          <w:trHeight w:val="10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6A5175">
        <w:trPr>
          <w:trHeight w:val="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3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 w:val="restart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/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9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F26CC3">
        <w:trPr>
          <w:trHeight w:val="637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50E7" w:rsidRPr="006A5175" w:rsidRDefault="005250E7" w:rsidP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</w:t>
            </w:r>
            <w:r w:rsidR="004714C7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F26CC3">
        <w:trPr>
          <w:trHeight w:val="80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261"/>
        </w:trPr>
        <w:tc>
          <w:tcPr>
            <w:tcW w:w="1217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Раздел 4. Социальная сфера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78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250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4.1.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Социальная   структура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общества.  Положение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6467" w:type="dxa"/>
            <w:gridSpan w:val="4"/>
            <w:vAlign w:val="bottom"/>
          </w:tcPr>
          <w:p w:rsidR="00C73C3C" w:rsidRPr="006A5175" w:rsidRDefault="00C73C3C" w:rsidP="005250E7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C73C3C" w:rsidRPr="006A5175" w:rsidTr="00C73C3C">
        <w:trPr>
          <w:trHeight w:val="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6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4714C7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73C3C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275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55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3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046D88" w:rsidRPr="006A5175" w:rsidTr="004714C7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 и  брак. Функции и  типы  семьи.  Семья  как важнейший социальный институт. Тенденции развития семьи в современном мире.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4.4.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  <w:t>Социальные нормы и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социальный контроль.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Социальный конфликт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способы его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624CC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 xml:space="preserve">Политика   и   </w:t>
            </w: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lastRenderedPageBreak/>
              <w:t>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C73C3C" w:rsidRPr="006A5175" w:rsidRDefault="00C73C3C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Политическая система общества, ее структура и функции. Политическая система Российской 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Федерации на современном этапе.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 Функции  государства.  Форма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ления,  форма  государственного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lastRenderedPageBreak/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9836F4" w:rsidRPr="006A5175" w:rsidTr="00C73C3C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22F9F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153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E7C29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  <w:p w:rsidR="00B22F9F" w:rsidRPr="006A5175" w:rsidRDefault="00B22F9F" w:rsidP="00B22F9F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</w:tc>
      </w:tr>
      <w:tr w:rsidR="00B22F9F" w:rsidRPr="006A5175" w:rsidTr="004714C7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6A5175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233FF3" w:rsidP="00233FF3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</w:t>
            </w:r>
            <w:r w:rsidR="009836F4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6.1.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77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 в системе</w:t>
            </w:r>
          </w:p>
        </w:tc>
        <w:tc>
          <w:tcPr>
            <w:tcW w:w="2406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1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trHeight w:val="9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B22F9F" w:rsidRPr="006A5175" w:rsidTr="004714C7">
        <w:trPr>
          <w:trHeight w:val="1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7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6.2.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5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конституционного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56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права Российской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07</w:t>
            </w:r>
          </w:p>
        </w:tc>
      </w:tr>
      <w:tr w:rsidR="000F53DC" w:rsidRPr="006A5175" w:rsidTr="004714C7">
        <w:trPr>
          <w:trHeight w:val="149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6.3.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гражданских,семейных</w:t>
            </w:r>
            <w:proofErr w:type="spellEnd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lastRenderedPageBreak/>
              <w:t>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трудовых,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образовательных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0F53DC" w:rsidRPr="006A5175" w:rsidRDefault="000F53D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0F53DC" w:rsidRPr="006A5175" w:rsidTr="004714C7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B22F9F" w:rsidRPr="006A5175" w:rsidTr="004714C7">
        <w:trPr>
          <w:trHeight w:val="621"/>
        </w:trPr>
        <w:tc>
          <w:tcPr>
            <w:tcW w:w="26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823F11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право. Трудовые правоотношения. Порядок приема на работу, 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B22F9F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</w:t>
            </w:r>
            <w:r w:rsidR="00233FF3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работников общественного питания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6.4.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налоговых,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  <w:t>административных,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уголовных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правоотношений.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Экологическое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  <w:p w:rsidR="000F53DC" w:rsidRPr="006A5175" w:rsidRDefault="000F53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DD7144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</w:p>
          <w:p w:rsidR="000F53DC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="000F53DC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F53DC" w:rsidRPr="006A5175" w:rsidRDefault="000F53DC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rPr>
          <w:rFonts w:ascii="Times New Roman" w:eastAsia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005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  <w:gridCol w:w="6"/>
        <w:gridCol w:w="62"/>
        <w:gridCol w:w="62"/>
      </w:tblGrid>
      <w:tr w:rsidR="00E36DBC" w:rsidTr="006A5175">
        <w:trPr>
          <w:gridAfter w:val="3"/>
          <w:wAfter w:w="130" w:type="dxa"/>
          <w:trHeight w:val="425"/>
        </w:trPr>
        <w:tc>
          <w:tcPr>
            <w:tcW w:w="9924" w:type="dxa"/>
          </w:tcPr>
          <w:p w:rsidR="00E36DBC" w:rsidRPr="006A5175" w:rsidRDefault="00E36DBC" w:rsidP="003F1F0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1" w:name="page31"/>
            <w:bookmarkStart w:id="22" w:name="page30"/>
            <w:bookmarkEnd w:id="21"/>
            <w:bookmarkEnd w:id="22"/>
          </w:p>
          <w:p w:rsidR="00E36DBC" w:rsidRPr="006A5175" w:rsidRDefault="006A5175" w:rsidP="00E36DBC">
            <w:pPr>
              <w:numPr>
                <w:ilvl w:val="0"/>
                <w:numId w:val="39"/>
              </w:numPr>
              <w:tabs>
                <w:tab w:val="left" w:pos="1260"/>
              </w:tabs>
              <w:spacing w:line="0" w:lineRule="atLeast"/>
              <w:ind w:left="1260" w:hanging="547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УСЛОВИЯ РЕАЛИЗАЦИИ ПРОГРАММЫ ОБЩЕОБРАЗОВАТЕЛЬНОЙ ДИСЦИПЛИНЫ «ОБЩЕСТВОЗНАНИЕ»</w:t>
            </w:r>
          </w:p>
          <w:p w:rsidR="00E36DBC" w:rsidRPr="0029574B" w:rsidRDefault="00E36DBC" w:rsidP="003F1F0D">
            <w:pPr>
              <w:spacing w:line="352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3.1. Оснащение учебного кабинета</w:t>
            </w: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</w:p>
          <w:p w:rsidR="00E36DBC" w:rsidRPr="0029574B" w:rsidRDefault="00E36DBC" w:rsidP="00823F11">
            <w:pPr>
              <w:spacing w:line="0" w:lineRule="atLeast"/>
              <w:ind w:firstLine="733"/>
              <w:jc w:val="both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2957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университете есть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помещение, в котором имеется возможность обеспечить свободный доступ в Интернет в период вне учебной деятельности обучающихся.</w:t>
            </w:r>
          </w:p>
          <w:p w:rsidR="00E36DBC" w:rsidRPr="00E47135" w:rsidRDefault="00E36DBC" w:rsidP="003F1F0D">
            <w:pPr>
              <w:spacing w:line="5" w:lineRule="exact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E36DBC" w:rsidRPr="0029574B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</w:r>
          </w:p>
          <w:p w:rsidR="00E36DBC" w:rsidRPr="0029574B" w:rsidRDefault="00534DF4" w:rsidP="00E36DBC">
            <w:pPr>
              <w:numPr>
                <w:ilvl w:val="1"/>
                <w:numId w:val="40"/>
              </w:numPr>
              <w:tabs>
                <w:tab w:val="left" w:pos="1275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E36DBC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</w:r>
          </w:p>
          <w:p w:rsidR="00E36DBC" w:rsidRPr="0029574B" w:rsidRDefault="00E36DBC" w:rsidP="00E36DBC">
            <w:pPr>
              <w:numPr>
                <w:ilvl w:val="1"/>
                <w:numId w:val="40"/>
              </w:numPr>
              <w:tabs>
                <w:tab w:val="left" w:pos="1191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состав учебно-методического и материально-технического обеспечения программы учебной дисциплины «Обществознание» входят: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наглядные пособия (комплекты учебных таблиц, плакатов);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информационно-коммуникационные средства;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экранно-звуковые пособия;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68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рекомендованные мультимедийные пособия.</w:t>
            </w:r>
          </w:p>
          <w:p w:rsidR="00E36DBC" w:rsidRPr="0029574B" w:rsidRDefault="00E36DBC" w:rsidP="003F1F0D">
            <w:pPr>
              <w:spacing w:line="355" w:lineRule="exact"/>
              <w:ind w:firstLine="960"/>
              <w:jc w:val="both"/>
              <w:rPr>
                <w:rFonts w:ascii="Times New Roman" w:eastAsia="Times New Roman" w:hAnsi="Times New Roman"/>
              </w:rPr>
            </w:pPr>
          </w:p>
          <w:p w:rsidR="00E36DBC" w:rsidRPr="00A92A64" w:rsidRDefault="00E36DBC" w:rsidP="003F1F0D">
            <w:pPr>
              <w:spacing w:line="0" w:lineRule="atLeast"/>
              <w:ind w:firstLine="9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A92A64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3.2. Информационное обеспечение реализации программы</w:t>
            </w:r>
          </w:p>
          <w:p w:rsidR="00E36DBC" w:rsidRPr="00E923BC" w:rsidRDefault="00E36DBC" w:rsidP="003F1F0D">
            <w:pPr>
              <w:spacing w:line="212" w:lineRule="exact"/>
              <w:jc w:val="both"/>
              <w:rPr>
                <w:rFonts w:ascii="Times New Roman" w:eastAsia="Times New Roman" w:hAnsi="Times New Roman"/>
                <w:color w:val="00B050"/>
              </w:rPr>
            </w:pPr>
          </w:p>
          <w:p w:rsidR="00E36DBC" w:rsidRPr="00A92A64" w:rsidRDefault="00E36DBC" w:rsidP="00E36DBC">
            <w:pPr>
              <w:numPr>
                <w:ilvl w:val="1"/>
                <w:numId w:val="41"/>
              </w:numPr>
              <w:tabs>
                <w:tab w:val="left" w:pos="1242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библиотечный фонд кабинета входят учебники, учебно-методические комплекты (УМК) (в </w:t>
            </w:r>
            <w:proofErr w:type="spellStart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т.ч</w:t>
            </w:r>
            <w:proofErr w:type="spellEnd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</w:r>
          </w:p>
          <w:p w:rsidR="00E36DBC" w:rsidRPr="00A92A64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</w:r>
          </w:p>
          <w:p w:rsidR="00E36DBC" w:rsidRDefault="00E36DBC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</w:t>
            </w: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(электронным книгам, документам, хрестоматиям, практикумам, тестам и другим подобным ресурсам).</w:t>
            </w:r>
          </w:p>
          <w:p w:rsidR="00066D19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Обществознание. 10 класс :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 : Просвещение, 2022. — 319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Обществознание. 11 класс :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 : Просвещение, 2022. — 334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</w:r>
          </w:p>
          <w:p w:rsidR="00066D19" w:rsidRDefault="00066D19" w:rsidP="00066D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 ресурсы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Единая коллекция цифровых образовательных ресурсов.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http://school-collection.edu.ru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Информационно-правовой портал «Гарант». URL: http://www.garant.ru.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Официальный сайт компании «Консультант Плюс».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http://www.consultant.ru.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URL: https://urait.ru/bcode/450724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Официальный сайт Президента РФ. URL: http://www.kremlin.ru.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Официальный сайт Правительства РФ.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Официальный сайт Государственной Думы РФ. URL: http://duma.gov.ru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Официальный сайт Совета Федерации РФ. URL: http://council.gov.ru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Официальный сайт Верховного суда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http://www.vsrf.ru.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Официальный сайт Правительства России.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Фестиваль педагогических идей «Открытый урок». URL:http://festival.1september.ru/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Министерство просвещения Российской Федерации. URL: https://edu.gov.ru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Министерство науки и высшего образования Российской Федерации. URL: https://minobrnauki.gov.ru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Федеральная служба по надзору в сфере образования и науки </w:t>
            </w:r>
          </w:p>
          <w:p w:rsidR="00066D19" w:rsidRDefault="00066D19" w:rsidP="00066D19">
            <w:pPr>
              <w:pStyle w:val="Default"/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URL: https://obrnadzor.gov.ru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Официальный сайт Национальных проектов России. URL: https://национальныепроекты.рф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 Федеральный портал «Российское образование». URL: https://www.edu.ru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портал «Информационно-коммуникационных технологий в образовании». URL: http://window.edu.ru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Федеральный портал по финансовой грамотности. URL: https://vashifinancy.ru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Федеральный институт педагогических измерений (ФИПИ). URL: https://fipi.ru 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источники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Гражданский кодекс Российской Федерации от 30.11.1994 N 51-ФЗ (ред. от 25.02.2022)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Бюджетный кодекс Российской Федерации от 31.07.1998 N 145-ФЗ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Семейный кодекс Российской Федерации от 29.12.1995 N 223-ФЗ (ред. от 04.08.2022)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Трудовой кодекс Российской Федерации от 30.12.2001 N 197-ФЗ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Уголовный кодекс Российской Федерации от 13.06.1996 N 63-ФЗ (ред. от 14.07.2022, с изм. от 18.07.2022)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Налоговый кодекс Российской Федерации от 31.07.1998 N 146-ФЗ (ред. от 28.06.2022) (с изм. и доп., вступ. в силу с 01.08.2022)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Закон РФ от 31.05.2002 № 62-ФЗ «О гражданстве Российской Федерации» // СЗ РФ. —2002.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Закон РФ от 11.02.1993 № 4462-1 «О Нотариате» (с изм. и доп.) // СЗ РФ. — 1993.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Федеральный закон от 31.05.2002 г. № 63-ФЗ «Об адвокатской деятельности и адвокатуре в Российской Федерации» // СЗ РФ. — 2002.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Федеральный закон от 29.12.2012 № 273-ФЗ «Об образовании в Российской Федерации» //СЗ РФ. — 2012.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Федеральный закон от 10.01.2002 № 7-ФЗ «Об охране окружающей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среды» // СЗ РФ. —2002. — № 2. — Ст. 133.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Федеральный закон «О воинской обязанности и военной службе» от 28.03.1998 N 53-ФЗ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</w:r>
          </w:p>
          <w:p w:rsidR="00066D19" w:rsidRPr="00A92A64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36DBC" w:rsidTr="006A5175">
        <w:tc>
          <w:tcPr>
            <w:tcW w:w="9924" w:type="dxa"/>
            <w:hideMark/>
          </w:tcPr>
          <w:p w:rsidR="00E36DBC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534DF4" w:rsidRPr="00066D19" w:rsidRDefault="00534DF4" w:rsidP="00534DF4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66D1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534DF4" w:rsidRPr="00414B59" w:rsidRDefault="00534DF4" w:rsidP="00534DF4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подаватель использует как готовые средства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оценивания, представленными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534DF4" w:rsidRPr="00414B59" w:rsidRDefault="00534DF4" w:rsidP="00534DF4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534DF4" w:rsidRPr="00414B59" w:rsidRDefault="00534DF4" w:rsidP="00534DF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534DF4" w:rsidRPr="00414B59" w:rsidRDefault="00534DF4" w:rsidP="00534DF4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3F1F0D" w:rsidRP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534DF4" w:rsidRPr="004354DA" w:rsidRDefault="00534DF4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2.2.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 и личности.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Задания-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6. Правовое регулирование общественных отношений в Российской Федерации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6.4.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836F4" w:rsidRDefault="009836F4" w:rsidP="009836F4"/>
    <w:p w:rsidR="009836F4" w:rsidRDefault="009836F4" w:rsidP="009836F4"/>
    <w:p w:rsidR="00B56B06" w:rsidRDefault="00B56B06"/>
    <w:sectPr w:rsidR="00B5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F4"/>
    <w:rsid w:val="00046D88"/>
    <w:rsid w:val="00066D19"/>
    <w:rsid w:val="000F53DC"/>
    <w:rsid w:val="001247F5"/>
    <w:rsid w:val="001742C3"/>
    <w:rsid w:val="001947A0"/>
    <w:rsid w:val="00233FF3"/>
    <w:rsid w:val="002E6A89"/>
    <w:rsid w:val="002F507F"/>
    <w:rsid w:val="0033516D"/>
    <w:rsid w:val="003A3C58"/>
    <w:rsid w:val="003F1F0D"/>
    <w:rsid w:val="004714C7"/>
    <w:rsid w:val="00504814"/>
    <w:rsid w:val="005250E7"/>
    <w:rsid w:val="00531638"/>
    <w:rsid w:val="00534DF4"/>
    <w:rsid w:val="0054031F"/>
    <w:rsid w:val="00616664"/>
    <w:rsid w:val="00624CC6"/>
    <w:rsid w:val="006527E5"/>
    <w:rsid w:val="00656C14"/>
    <w:rsid w:val="006734DA"/>
    <w:rsid w:val="006826C3"/>
    <w:rsid w:val="006A5175"/>
    <w:rsid w:val="007236B5"/>
    <w:rsid w:val="00782484"/>
    <w:rsid w:val="007A02C4"/>
    <w:rsid w:val="007F0D83"/>
    <w:rsid w:val="007F0F62"/>
    <w:rsid w:val="00823F11"/>
    <w:rsid w:val="00930B31"/>
    <w:rsid w:val="009836F4"/>
    <w:rsid w:val="00A96B60"/>
    <w:rsid w:val="00B22F9F"/>
    <w:rsid w:val="00B24753"/>
    <w:rsid w:val="00B56B06"/>
    <w:rsid w:val="00B924D0"/>
    <w:rsid w:val="00BE7C29"/>
    <w:rsid w:val="00C73C3C"/>
    <w:rsid w:val="00C906B7"/>
    <w:rsid w:val="00DD7144"/>
    <w:rsid w:val="00DF24F6"/>
    <w:rsid w:val="00E36DBC"/>
    <w:rsid w:val="00F26CC3"/>
    <w:rsid w:val="00F61D76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45</Pages>
  <Words>9978</Words>
  <Characters>56878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40</cp:revision>
  <dcterms:created xsi:type="dcterms:W3CDTF">2023-06-20T23:27:00Z</dcterms:created>
  <dcterms:modified xsi:type="dcterms:W3CDTF">2025-11-18T08:59:00Z</dcterms:modified>
</cp:coreProperties>
</file>